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D8F5" w14:textId="593A49F2" w:rsidR="00612E59" w:rsidRPr="00714B8B" w:rsidRDefault="00B84640" w:rsidP="00851620">
      <w:pPr>
        <w:pStyle w:val="Ttulo"/>
      </w:pPr>
      <w:r w:rsidRPr="00714B8B">
        <w:t>ACUERDO QUE EMITE EL CONSEJO ESTATAL DEL INSTITUTO ELECTORAL Y DE PARTICIPACIÓN CIUDADANA DE TABASCO, MEDIANTE EL CUAL DETERMINA LA INSTANCIA QUE IMPLEMENTARÁ Y OPERARÁ EL PROGRAMA DE RESULTADOS ELECTORALES PRELIMINARES DEL ESTADO DE TABASCO (PREPET) EN EL PROCESO ELECTORAL LOCAL ORDINARIO 2023 – 2024</w:t>
      </w:r>
    </w:p>
    <w:p w14:paraId="3DD9E665" w14:textId="77777777" w:rsidR="00B0013A" w:rsidRPr="00714B8B" w:rsidRDefault="00B0013A" w:rsidP="00B0013A"/>
    <w:p w14:paraId="75BFF895" w14:textId="77777777" w:rsidR="00851620" w:rsidRPr="00714B8B" w:rsidRDefault="00851620" w:rsidP="00851620">
      <w:r w:rsidRPr="00714B8B">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714B8B" w:rsidRPr="00714B8B" w14:paraId="48310BB0" w14:textId="77777777" w:rsidTr="009A251F">
        <w:trPr>
          <w:trHeight w:val="624"/>
          <w:jc w:val="center"/>
        </w:trPr>
        <w:tc>
          <w:tcPr>
            <w:tcW w:w="2042" w:type="pct"/>
            <w:shd w:val="clear" w:color="auto" w:fill="auto"/>
            <w:vAlign w:val="center"/>
          </w:tcPr>
          <w:p w14:paraId="60B05434" w14:textId="77777777" w:rsidR="00851620" w:rsidRPr="00714B8B" w:rsidRDefault="00851620" w:rsidP="009A251F">
            <w:pPr>
              <w:spacing w:before="60" w:after="60" w:line="288" w:lineRule="auto"/>
              <w:ind w:left="57"/>
              <w:jc w:val="right"/>
              <w:rPr>
                <w:b/>
              </w:rPr>
            </w:pPr>
            <w:r w:rsidRPr="00714B8B">
              <w:rPr>
                <w:b/>
              </w:rPr>
              <w:t>Consejo Estatal:</w:t>
            </w:r>
          </w:p>
        </w:tc>
        <w:tc>
          <w:tcPr>
            <w:tcW w:w="2958" w:type="pct"/>
            <w:shd w:val="clear" w:color="auto" w:fill="auto"/>
            <w:vAlign w:val="center"/>
          </w:tcPr>
          <w:p w14:paraId="679B3444" w14:textId="77777777" w:rsidR="00851620" w:rsidRPr="00714B8B" w:rsidRDefault="00851620" w:rsidP="009A251F">
            <w:pPr>
              <w:spacing w:before="60" w:after="60" w:line="288" w:lineRule="auto"/>
              <w:ind w:left="57"/>
            </w:pPr>
            <w:r w:rsidRPr="00714B8B">
              <w:t>Consejo Estatal del Instituto Electoral y de Participación Ciudadana de Tabasco.</w:t>
            </w:r>
          </w:p>
        </w:tc>
      </w:tr>
      <w:tr w:rsidR="00714B8B" w:rsidRPr="00714B8B" w14:paraId="1D055B32" w14:textId="77777777" w:rsidTr="009A251F">
        <w:trPr>
          <w:trHeight w:val="624"/>
          <w:jc w:val="center"/>
        </w:trPr>
        <w:tc>
          <w:tcPr>
            <w:tcW w:w="2042" w:type="pct"/>
            <w:shd w:val="clear" w:color="auto" w:fill="auto"/>
            <w:vAlign w:val="center"/>
          </w:tcPr>
          <w:p w14:paraId="1C9A49DD" w14:textId="77777777" w:rsidR="00851620" w:rsidRPr="00714B8B" w:rsidRDefault="00851620" w:rsidP="009A251F">
            <w:pPr>
              <w:spacing w:before="60" w:after="60" w:line="288" w:lineRule="auto"/>
              <w:ind w:left="57"/>
              <w:jc w:val="right"/>
              <w:rPr>
                <w:b/>
              </w:rPr>
            </w:pPr>
            <w:r w:rsidRPr="00714B8B">
              <w:rPr>
                <w:b/>
              </w:rPr>
              <w:t>Constitución Federal:</w:t>
            </w:r>
          </w:p>
        </w:tc>
        <w:tc>
          <w:tcPr>
            <w:tcW w:w="2958" w:type="pct"/>
            <w:shd w:val="clear" w:color="auto" w:fill="auto"/>
            <w:vAlign w:val="center"/>
          </w:tcPr>
          <w:p w14:paraId="66105E7A" w14:textId="77777777" w:rsidR="00851620" w:rsidRPr="00714B8B" w:rsidRDefault="00851620" w:rsidP="009A251F">
            <w:pPr>
              <w:spacing w:before="60" w:after="60" w:line="288" w:lineRule="auto"/>
              <w:ind w:left="57"/>
            </w:pPr>
            <w:r w:rsidRPr="00714B8B">
              <w:t>Constitución Política de los Estados Unidos Mexicanos.</w:t>
            </w:r>
          </w:p>
        </w:tc>
      </w:tr>
      <w:tr w:rsidR="00714B8B" w:rsidRPr="00714B8B" w14:paraId="332A3FFB" w14:textId="77777777" w:rsidTr="009A251F">
        <w:trPr>
          <w:trHeight w:val="624"/>
          <w:jc w:val="center"/>
        </w:trPr>
        <w:tc>
          <w:tcPr>
            <w:tcW w:w="2042" w:type="pct"/>
            <w:shd w:val="clear" w:color="auto" w:fill="auto"/>
            <w:vAlign w:val="center"/>
          </w:tcPr>
          <w:p w14:paraId="71883DB7" w14:textId="77777777" w:rsidR="00851620" w:rsidRPr="00714B8B" w:rsidRDefault="00851620" w:rsidP="009A251F">
            <w:pPr>
              <w:spacing w:before="60" w:after="60" w:line="288" w:lineRule="auto"/>
              <w:ind w:left="57"/>
              <w:jc w:val="right"/>
              <w:rPr>
                <w:b/>
              </w:rPr>
            </w:pPr>
            <w:r w:rsidRPr="00714B8B">
              <w:rPr>
                <w:b/>
              </w:rPr>
              <w:t>Constitución Local:</w:t>
            </w:r>
          </w:p>
        </w:tc>
        <w:tc>
          <w:tcPr>
            <w:tcW w:w="2958" w:type="pct"/>
            <w:shd w:val="clear" w:color="auto" w:fill="auto"/>
            <w:vAlign w:val="center"/>
          </w:tcPr>
          <w:p w14:paraId="12B48A4C" w14:textId="77777777" w:rsidR="00851620" w:rsidRPr="00714B8B" w:rsidRDefault="00851620" w:rsidP="009A251F">
            <w:pPr>
              <w:spacing w:before="60" w:after="60" w:line="288" w:lineRule="auto"/>
              <w:ind w:left="57"/>
            </w:pPr>
            <w:r w:rsidRPr="00714B8B">
              <w:t>Constitución Política del Estado Libre y Soberano de Tabasco.</w:t>
            </w:r>
          </w:p>
        </w:tc>
      </w:tr>
      <w:tr w:rsidR="00714B8B" w:rsidRPr="00714B8B" w14:paraId="17285BC3" w14:textId="77777777" w:rsidTr="009A251F">
        <w:trPr>
          <w:trHeight w:val="624"/>
          <w:jc w:val="center"/>
        </w:trPr>
        <w:tc>
          <w:tcPr>
            <w:tcW w:w="2042" w:type="pct"/>
            <w:shd w:val="clear" w:color="auto" w:fill="auto"/>
            <w:vAlign w:val="center"/>
          </w:tcPr>
          <w:p w14:paraId="76E546C3" w14:textId="77777777" w:rsidR="00851620" w:rsidRPr="00714B8B" w:rsidRDefault="00851620" w:rsidP="009A251F">
            <w:pPr>
              <w:spacing w:before="60" w:after="60" w:line="288" w:lineRule="auto"/>
              <w:ind w:left="57"/>
              <w:jc w:val="right"/>
              <w:rPr>
                <w:b/>
              </w:rPr>
            </w:pPr>
            <w:r w:rsidRPr="00714B8B">
              <w:rPr>
                <w:b/>
              </w:rPr>
              <w:t>INE:</w:t>
            </w:r>
          </w:p>
        </w:tc>
        <w:tc>
          <w:tcPr>
            <w:tcW w:w="2958" w:type="pct"/>
            <w:shd w:val="clear" w:color="auto" w:fill="auto"/>
            <w:vAlign w:val="center"/>
          </w:tcPr>
          <w:p w14:paraId="54D8AB16" w14:textId="77777777" w:rsidR="00851620" w:rsidRPr="00714B8B" w:rsidRDefault="00851620" w:rsidP="009A251F">
            <w:pPr>
              <w:spacing w:before="60" w:after="60" w:line="288" w:lineRule="auto"/>
              <w:ind w:left="57"/>
            </w:pPr>
            <w:r w:rsidRPr="00714B8B">
              <w:t>Instituto Nacional Electoral.</w:t>
            </w:r>
          </w:p>
        </w:tc>
      </w:tr>
      <w:tr w:rsidR="00714B8B" w:rsidRPr="00714B8B" w14:paraId="6883D9CF" w14:textId="77777777" w:rsidTr="009A251F">
        <w:trPr>
          <w:trHeight w:val="624"/>
          <w:jc w:val="center"/>
        </w:trPr>
        <w:tc>
          <w:tcPr>
            <w:tcW w:w="2042" w:type="pct"/>
            <w:shd w:val="clear" w:color="auto" w:fill="auto"/>
            <w:vAlign w:val="center"/>
          </w:tcPr>
          <w:p w14:paraId="0255097B" w14:textId="77777777" w:rsidR="00851620" w:rsidRPr="00714B8B" w:rsidRDefault="00851620" w:rsidP="009A251F">
            <w:pPr>
              <w:spacing w:before="60" w:after="60" w:line="288" w:lineRule="auto"/>
              <w:ind w:left="57"/>
              <w:jc w:val="right"/>
              <w:rPr>
                <w:b/>
              </w:rPr>
            </w:pPr>
            <w:r w:rsidRPr="00714B8B">
              <w:rPr>
                <w:b/>
              </w:rPr>
              <w:t>Instituto Electoral:</w:t>
            </w:r>
          </w:p>
        </w:tc>
        <w:tc>
          <w:tcPr>
            <w:tcW w:w="2958" w:type="pct"/>
            <w:shd w:val="clear" w:color="auto" w:fill="auto"/>
          </w:tcPr>
          <w:p w14:paraId="13596BA8" w14:textId="77777777" w:rsidR="00851620" w:rsidRPr="00714B8B" w:rsidRDefault="00851620" w:rsidP="009A251F">
            <w:pPr>
              <w:spacing w:before="60" w:after="60" w:line="288" w:lineRule="auto"/>
              <w:ind w:left="57"/>
            </w:pPr>
            <w:r w:rsidRPr="00714B8B">
              <w:t>Instituto Electoral y de Participación Ciudadana de Tabasco.</w:t>
            </w:r>
          </w:p>
        </w:tc>
      </w:tr>
      <w:tr w:rsidR="00714B8B" w:rsidRPr="00714B8B" w14:paraId="02967CBF" w14:textId="77777777" w:rsidTr="009A251F">
        <w:trPr>
          <w:trHeight w:val="624"/>
          <w:jc w:val="center"/>
        </w:trPr>
        <w:tc>
          <w:tcPr>
            <w:tcW w:w="2042" w:type="pct"/>
            <w:shd w:val="clear" w:color="auto" w:fill="auto"/>
            <w:vAlign w:val="center"/>
          </w:tcPr>
          <w:p w14:paraId="2547B983" w14:textId="77777777" w:rsidR="00851620" w:rsidRPr="00714B8B" w:rsidRDefault="00851620" w:rsidP="009A251F">
            <w:pPr>
              <w:spacing w:before="60" w:after="60" w:line="288" w:lineRule="auto"/>
              <w:ind w:left="57"/>
              <w:jc w:val="right"/>
              <w:rPr>
                <w:b/>
              </w:rPr>
            </w:pPr>
            <w:r w:rsidRPr="00714B8B">
              <w:rPr>
                <w:b/>
              </w:rPr>
              <w:t>Ley Electoral:</w:t>
            </w:r>
          </w:p>
        </w:tc>
        <w:tc>
          <w:tcPr>
            <w:tcW w:w="2958" w:type="pct"/>
            <w:shd w:val="clear" w:color="auto" w:fill="auto"/>
            <w:vAlign w:val="center"/>
          </w:tcPr>
          <w:p w14:paraId="4BA48BDD" w14:textId="77777777" w:rsidR="00851620" w:rsidRPr="00714B8B" w:rsidRDefault="00851620" w:rsidP="009A251F">
            <w:pPr>
              <w:spacing w:before="60" w:after="60" w:line="288" w:lineRule="auto"/>
              <w:ind w:left="57"/>
            </w:pPr>
            <w:r w:rsidRPr="00714B8B">
              <w:t>Ley Electoral y de Partidos Políticos del Estado de Tabasco.</w:t>
            </w:r>
          </w:p>
        </w:tc>
      </w:tr>
      <w:tr w:rsidR="00714B8B" w:rsidRPr="00714B8B" w14:paraId="16EA2570" w14:textId="77777777" w:rsidTr="009A251F">
        <w:trPr>
          <w:trHeight w:val="624"/>
          <w:jc w:val="center"/>
        </w:trPr>
        <w:tc>
          <w:tcPr>
            <w:tcW w:w="2042" w:type="pct"/>
            <w:shd w:val="clear" w:color="auto" w:fill="auto"/>
            <w:vAlign w:val="center"/>
          </w:tcPr>
          <w:p w14:paraId="623C6E98" w14:textId="77777777" w:rsidR="00851620" w:rsidRPr="00714B8B" w:rsidRDefault="00851620" w:rsidP="009A251F">
            <w:pPr>
              <w:spacing w:before="60" w:after="60" w:line="288" w:lineRule="auto"/>
              <w:ind w:left="57"/>
              <w:jc w:val="right"/>
              <w:rPr>
                <w:b/>
              </w:rPr>
            </w:pPr>
            <w:r w:rsidRPr="00714B8B">
              <w:rPr>
                <w:b/>
              </w:rPr>
              <w:t>Ley General:</w:t>
            </w:r>
          </w:p>
        </w:tc>
        <w:tc>
          <w:tcPr>
            <w:tcW w:w="2958" w:type="pct"/>
            <w:shd w:val="clear" w:color="auto" w:fill="auto"/>
            <w:vAlign w:val="center"/>
          </w:tcPr>
          <w:p w14:paraId="436BBACD" w14:textId="77777777" w:rsidR="00851620" w:rsidRPr="00714B8B" w:rsidRDefault="00851620" w:rsidP="009A251F">
            <w:pPr>
              <w:spacing w:before="60" w:after="60" w:line="288" w:lineRule="auto"/>
              <w:ind w:left="57"/>
            </w:pPr>
            <w:r w:rsidRPr="00714B8B">
              <w:t>Ley General de Instituciones y Procedimientos Electorales.</w:t>
            </w:r>
          </w:p>
        </w:tc>
      </w:tr>
      <w:tr w:rsidR="00714B8B" w:rsidRPr="00714B8B" w14:paraId="14872435" w14:textId="77777777" w:rsidTr="009A251F">
        <w:trPr>
          <w:trHeight w:val="624"/>
          <w:jc w:val="center"/>
        </w:trPr>
        <w:tc>
          <w:tcPr>
            <w:tcW w:w="2042" w:type="pct"/>
            <w:shd w:val="clear" w:color="auto" w:fill="auto"/>
            <w:vAlign w:val="center"/>
          </w:tcPr>
          <w:p w14:paraId="2FAB00CC" w14:textId="77777777" w:rsidR="00851620" w:rsidRPr="00714B8B" w:rsidRDefault="00851620" w:rsidP="009A251F">
            <w:pPr>
              <w:spacing w:before="60" w:after="60" w:line="288" w:lineRule="auto"/>
              <w:ind w:left="57"/>
              <w:jc w:val="right"/>
              <w:rPr>
                <w:b/>
              </w:rPr>
            </w:pPr>
            <w:r w:rsidRPr="00714B8B">
              <w:rPr>
                <w:b/>
              </w:rPr>
              <w:t>Organismo electoral:</w:t>
            </w:r>
          </w:p>
        </w:tc>
        <w:tc>
          <w:tcPr>
            <w:tcW w:w="2958" w:type="pct"/>
            <w:shd w:val="clear" w:color="auto" w:fill="auto"/>
            <w:vAlign w:val="center"/>
          </w:tcPr>
          <w:p w14:paraId="4E4A540C" w14:textId="77777777" w:rsidR="00851620" w:rsidRPr="00714B8B" w:rsidRDefault="00851620" w:rsidP="009A251F">
            <w:pPr>
              <w:spacing w:before="60" w:after="60" w:line="288" w:lineRule="auto"/>
              <w:ind w:left="57"/>
            </w:pPr>
            <w:r w:rsidRPr="00714B8B">
              <w:t xml:space="preserve">Organismo(s) público(s) local(es) electoral(es). </w:t>
            </w:r>
          </w:p>
        </w:tc>
      </w:tr>
      <w:tr w:rsidR="00714B8B" w:rsidRPr="00714B8B" w14:paraId="79F8D65F" w14:textId="77777777" w:rsidTr="009A251F">
        <w:trPr>
          <w:trHeight w:val="624"/>
          <w:jc w:val="center"/>
        </w:trPr>
        <w:tc>
          <w:tcPr>
            <w:tcW w:w="2042" w:type="pct"/>
            <w:shd w:val="clear" w:color="auto" w:fill="auto"/>
            <w:vAlign w:val="center"/>
          </w:tcPr>
          <w:p w14:paraId="1F84C28C" w14:textId="77777777" w:rsidR="00851620" w:rsidRPr="00714B8B" w:rsidRDefault="00851620" w:rsidP="009A251F">
            <w:pPr>
              <w:spacing w:before="60" w:after="60" w:line="288" w:lineRule="auto"/>
              <w:ind w:left="57"/>
              <w:jc w:val="right"/>
              <w:rPr>
                <w:b/>
              </w:rPr>
            </w:pPr>
            <w:r w:rsidRPr="00714B8B">
              <w:rPr>
                <w:b/>
              </w:rPr>
              <w:t>Reglamento de Elecciones:</w:t>
            </w:r>
          </w:p>
        </w:tc>
        <w:tc>
          <w:tcPr>
            <w:tcW w:w="2958" w:type="pct"/>
            <w:shd w:val="clear" w:color="auto" w:fill="auto"/>
            <w:vAlign w:val="center"/>
          </w:tcPr>
          <w:p w14:paraId="43283EAA" w14:textId="77777777" w:rsidR="00851620" w:rsidRPr="00714B8B" w:rsidRDefault="00851620" w:rsidP="009A251F">
            <w:pPr>
              <w:spacing w:before="60" w:after="60" w:line="288" w:lineRule="auto"/>
              <w:ind w:left="57"/>
            </w:pPr>
            <w:r w:rsidRPr="00714B8B">
              <w:t>Reglamento de Elecciones del Instituto Nacional Electoral.</w:t>
            </w:r>
          </w:p>
        </w:tc>
      </w:tr>
      <w:tr w:rsidR="00714B8B" w:rsidRPr="00714B8B" w14:paraId="19556ABE" w14:textId="77777777" w:rsidTr="009A251F">
        <w:trPr>
          <w:trHeight w:val="624"/>
          <w:jc w:val="center"/>
        </w:trPr>
        <w:tc>
          <w:tcPr>
            <w:tcW w:w="2042" w:type="pct"/>
            <w:shd w:val="clear" w:color="auto" w:fill="auto"/>
            <w:vAlign w:val="center"/>
          </w:tcPr>
          <w:p w14:paraId="5A44F9D0" w14:textId="77777777" w:rsidR="00851620" w:rsidRPr="00714B8B" w:rsidRDefault="00851620" w:rsidP="009A251F">
            <w:pPr>
              <w:spacing w:before="60" w:after="60" w:line="288" w:lineRule="auto"/>
              <w:ind w:left="57"/>
              <w:jc w:val="right"/>
              <w:rPr>
                <w:b/>
              </w:rPr>
            </w:pPr>
            <w:r w:rsidRPr="00714B8B">
              <w:rPr>
                <w:b/>
              </w:rPr>
              <w:lastRenderedPageBreak/>
              <w:t>Secretaría Ejecutiva:</w:t>
            </w:r>
          </w:p>
        </w:tc>
        <w:tc>
          <w:tcPr>
            <w:tcW w:w="2958" w:type="pct"/>
            <w:shd w:val="clear" w:color="auto" w:fill="auto"/>
            <w:vAlign w:val="center"/>
          </w:tcPr>
          <w:p w14:paraId="233091C8" w14:textId="77777777" w:rsidR="00851620" w:rsidRPr="00714B8B" w:rsidRDefault="00851620" w:rsidP="009A251F">
            <w:pPr>
              <w:spacing w:before="60" w:after="60" w:line="288" w:lineRule="auto"/>
              <w:ind w:left="57"/>
            </w:pPr>
            <w:r w:rsidRPr="00714B8B">
              <w:t>Secretaría Ejecutiva del Instituto Electoral y de Participación Ciudadana de Tabasco.</w:t>
            </w:r>
          </w:p>
        </w:tc>
      </w:tr>
    </w:tbl>
    <w:p w14:paraId="20C4752C" w14:textId="77777777" w:rsidR="00851620" w:rsidRPr="00B84640" w:rsidRDefault="00851620" w:rsidP="00EC1CA4">
      <w:pPr>
        <w:pStyle w:val="Ttulo1"/>
        <w:rPr>
          <w:sz w:val="24"/>
          <w:szCs w:val="24"/>
        </w:rPr>
      </w:pPr>
      <w:r w:rsidRPr="00B84640">
        <w:rPr>
          <w:sz w:val="24"/>
          <w:szCs w:val="24"/>
        </w:rPr>
        <w:t>Antecedentes</w:t>
      </w:r>
    </w:p>
    <w:p w14:paraId="3D5D7937" w14:textId="75CB7722" w:rsidR="008F6C38" w:rsidRPr="00B84640" w:rsidRDefault="008F6C38" w:rsidP="00EC1CA4">
      <w:pPr>
        <w:pStyle w:val="Ttulo2"/>
        <w:rPr>
          <w:sz w:val="23"/>
          <w:szCs w:val="23"/>
        </w:rPr>
      </w:pPr>
      <w:r w:rsidRPr="00B84640">
        <w:rPr>
          <w:sz w:val="23"/>
          <w:szCs w:val="23"/>
        </w:rPr>
        <w:t>Inicio del Proceso Electoral</w:t>
      </w:r>
    </w:p>
    <w:p w14:paraId="2B59B20E" w14:textId="2139B18F" w:rsidR="008F6C38" w:rsidRPr="00B84640" w:rsidRDefault="008F6C38" w:rsidP="00EC1CA4">
      <w:r w:rsidRPr="00B84640">
        <w:t>Conforme lo dispone el artículo 111, numeral 1 de la Ley Electoral, durante la primera semana del mes de octubre del año previo en que deban realizarse las elecciones estatales ordinarias, el Consejo Estatal deberá sesionar con el objeto de declarar el inicio del proceso electoral correspondiente, a efecto de realizar todas y cada una de las actividades tendentes a elegir las diputaciones, presidencias municipales y regidurías por ambos principios.</w:t>
      </w:r>
    </w:p>
    <w:p w14:paraId="0209A8EE" w14:textId="706BAA5A" w:rsidR="008F6C38" w:rsidRPr="00B84640" w:rsidRDefault="008F6C38" w:rsidP="00EC1CA4">
      <w:pPr>
        <w:pStyle w:val="Ttulo2"/>
        <w:rPr>
          <w:sz w:val="23"/>
          <w:szCs w:val="23"/>
        </w:rPr>
      </w:pPr>
      <w:r w:rsidRPr="00B84640">
        <w:rPr>
          <w:sz w:val="23"/>
          <w:szCs w:val="23"/>
        </w:rPr>
        <w:t>Período de precampaña</w:t>
      </w:r>
    </w:p>
    <w:p w14:paraId="5939B6F8" w14:textId="624268C8" w:rsidR="008F6C38" w:rsidRPr="00B84640" w:rsidRDefault="008F6C38" w:rsidP="00EC1CA4">
      <w:r w:rsidRPr="00B84640">
        <w:t>De conformidad con lo establecido por el artículo 176, numeral 2, fracción VI, inciso a) de la Ley Electoral, durante los procesos electorales en que se elija a la Gobernadora o Gobernador del Estado, las precampañas iniciarán en la primera semana de enero del año de la elección y no podrán durar más de cincuenta días.</w:t>
      </w:r>
    </w:p>
    <w:p w14:paraId="1D7C549E" w14:textId="4B16F83A" w:rsidR="008F6C38" w:rsidRPr="00B84640" w:rsidRDefault="008F6C38" w:rsidP="00EC1CA4">
      <w:r w:rsidRPr="00B84640">
        <w:t xml:space="preserve">Asimismo, </w:t>
      </w:r>
      <w:r w:rsidR="00B0013A" w:rsidRPr="00B84640">
        <w:t>de acuerdo con e</w:t>
      </w:r>
      <w:r w:rsidRPr="00B84640">
        <w:t>l artículo 177, numeral 1, fracción III del citado ordenamiento, cada partido deberá informar al Consejo Estatal, dentro de los cinco días siguientes a la conclusión del registro de precandidatas y precandidatos, deberá informar al Consejo Estatal, entre otras cosas, el inicio, conclusión de actividades de precampaña y fecha de la elección interna.</w:t>
      </w:r>
    </w:p>
    <w:p w14:paraId="05C36487" w14:textId="77777777" w:rsidR="008F6C38" w:rsidRPr="00B84640" w:rsidRDefault="008F6C38" w:rsidP="00EC1CA4">
      <w:pPr>
        <w:pStyle w:val="Ttulo2"/>
        <w:rPr>
          <w:sz w:val="23"/>
          <w:szCs w:val="23"/>
        </w:rPr>
      </w:pPr>
      <w:r w:rsidRPr="00B84640">
        <w:rPr>
          <w:sz w:val="23"/>
          <w:szCs w:val="23"/>
        </w:rPr>
        <w:t>Período de campaña</w:t>
      </w:r>
    </w:p>
    <w:p w14:paraId="7E52087C" w14:textId="02F0771F" w:rsidR="008F6C38" w:rsidRPr="00B84640" w:rsidRDefault="008F6C38" w:rsidP="00EC1CA4">
      <w:r w:rsidRPr="00B84640">
        <w:t>En términos de</w:t>
      </w:r>
      <w:r w:rsidR="00B0013A" w:rsidRPr="00B84640">
        <w:t xml:space="preserve">l </w:t>
      </w:r>
      <w:r w:rsidRPr="00B84640">
        <w:t xml:space="preserve">artículo 202, numerales 2 y 3 de la Ley Electoral las campañas electorales para diputaciones y regidurías en el año en que solamente se renueven el </w:t>
      </w:r>
      <w:r w:rsidRPr="00B84640">
        <w:lastRenderedPageBreak/>
        <w:t>Congreso y los ayuntamientos, tendrán una duración de cuarenta y cinco días, e iniciarán a partir del día siguiente al de la sesión de registro de candidaturas para la elección respectiva, debiendo concluir tres días antes de la jornada electoral.</w:t>
      </w:r>
    </w:p>
    <w:p w14:paraId="0F2D6E61" w14:textId="06B69E12" w:rsidR="00B0013A" w:rsidRPr="00B84640" w:rsidRDefault="008F6C38" w:rsidP="00EC1CA4">
      <w:pPr>
        <w:pStyle w:val="Ttulo2"/>
        <w:rPr>
          <w:sz w:val="23"/>
          <w:szCs w:val="23"/>
        </w:rPr>
      </w:pPr>
      <w:r w:rsidRPr="00B84640">
        <w:rPr>
          <w:sz w:val="23"/>
          <w:szCs w:val="23"/>
        </w:rPr>
        <w:t>Jornada electoral</w:t>
      </w:r>
    </w:p>
    <w:p w14:paraId="40330563" w14:textId="6B905690" w:rsidR="008F6C38" w:rsidRPr="00B84640" w:rsidRDefault="00B0013A" w:rsidP="00EC1CA4">
      <w:r w:rsidRPr="00B84640">
        <w:t xml:space="preserve">Por su parte, </w:t>
      </w:r>
      <w:r w:rsidR="008F6C38" w:rsidRPr="00B84640">
        <w:t xml:space="preserve">los artículos 25, numeral 1 de la Ley General y 27, numeral 1, fracciones II y III de la Ley Electoral, </w:t>
      </w:r>
      <w:r w:rsidRPr="00B84640">
        <w:t xml:space="preserve">disponen que </w:t>
      </w:r>
      <w:r w:rsidR="008F6C38" w:rsidRPr="00B84640">
        <w:t>las elecciones ordinarias en las que se elijan</w:t>
      </w:r>
      <w:r w:rsidR="005811E9" w:rsidRPr="00B84640">
        <w:t xml:space="preserve"> Gobernadoras o Gobernadores, miembros de las legislaturas locales e integrantes de los Ayuntamientos</w:t>
      </w:r>
      <w:r w:rsidR="008F6C38" w:rsidRPr="00B84640">
        <w:t>, deberán celebrarse el primer domingo de junio del año que corresponda</w:t>
      </w:r>
      <w:r w:rsidR="005811E9" w:rsidRPr="00B84640">
        <w:t xml:space="preserve">. Conforme a tales disposiciones, la jornada electoral por la que se renovará al titular del Poder Ejecutivo, a </w:t>
      </w:r>
      <w:r w:rsidR="008F6C38" w:rsidRPr="00B84640">
        <w:t xml:space="preserve">las </w:t>
      </w:r>
      <w:r w:rsidR="005811E9" w:rsidRPr="00B84640">
        <w:t xml:space="preserve">y los diputados, así como a las regidurías de los 17 ayuntamientos en la entidad </w:t>
      </w:r>
      <w:r w:rsidR="008F6C38" w:rsidRPr="00B84640">
        <w:t xml:space="preserve">se efectuará el </w:t>
      </w:r>
      <w:r w:rsidR="005811E9" w:rsidRPr="00B84640">
        <w:t xml:space="preserve">2 </w:t>
      </w:r>
      <w:r w:rsidR="008F6C38" w:rsidRPr="00B84640">
        <w:t xml:space="preserve">de junio </w:t>
      </w:r>
      <w:r w:rsidR="005811E9" w:rsidRPr="00B84640">
        <w:t>del 2024</w:t>
      </w:r>
      <w:r w:rsidR="008F6C38" w:rsidRPr="00B84640">
        <w:t>.</w:t>
      </w:r>
    </w:p>
    <w:p w14:paraId="2ED5B820" w14:textId="77777777" w:rsidR="00851620" w:rsidRPr="00B84640" w:rsidRDefault="00851620" w:rsidP="00EC1CA4">
      <w:pPr>
        <w:pStyle w:val="Ttulo1"/>
        <w:rPr>
          <w:sz w:val="24"/>
          <w:szCs w:val="24"/>
        </w:rPr>
      </w:pPr>
      <w:r w:rsidRPr="00B84640">
        <w:rPr>
          <w:sz w:val="24"/>
          <w:szCs w:val="24"/>
        </w:rPr>
        <w:t>Considerando</w:t>
      </w:r>
    </w:p>
    <w:p w14:paraId="5805754C" w14:textId="77777777" w:rsidR="00851620" w:rsidRPr="00B84640" w:rsidRDefault="00851620" w:rsidP="00EC1CA4">
      <w:pPr>
        <w:pStyle w:val="Ttulo2"/>
        <w:rPr>
          <w:sz w:val="23"/>
          <w:szCs w:val="23"/>
        </w:rPr>
      </w:pPr>
      <w:r w:rsidRPr="00B84640">
        <w:rPr>
          <w:sz w:val="23"/>
          <w:szCs w:val="23"/>
        </w:rPr>
        <w:t xml:space="preserve">Fines del Instituto Electoral </w:t>
      </w:r>
    </w:p>
    <w:p w14:paraId="6471BDFF" w14:textId="77777777" w:rsidR="00851620" w:rsidRPr="00B84640" w:rsidRDefault="00851620" w:rsidP="00EC1CA4">
      <w:r w:rsidRPr="00B84640">
        <w:t>Que, de conformidad con los artículos 9, apartado C, fracción I, de la Constitución Local, 3 numeral 3, 100 y 102 numeral 1,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7A92D439" w14:textId="77777777" w:rsidR="00851620" w:rsidRPr="00B84640" w:rsidRDefault="00851620" w:rsidP="00EC1CA4">
      <w:r w:rsidRPr="00B84640">
        <w:t xml:space="preserve">De acuerdo con el artículo 101 de la Ley Electoral, el Instituto Electoral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w:t>
      </w:r>
      <w:r w:rsidRPr="00B84640">
        <w:lastRenderedPageBreak/>
        <w:t>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6DE480D2" w14:textId="77777777" w:rsidR="00851620" w:rsidRPr="00B84640" w:rsidRDefault="00851620" w:rsidP="00EC1CA4">
      <w:pPr>
        <w:pStyle w:val="Ttulo2"/>
        <w:rPr>
          <w:sz w:val="23"/>
          <w:szCs w:val="23"/>
        </w:rPr>
      </w:pPr>
      <w:r w:rsidRPr="00B84640">
        <w:rPr>
          <w:sz w:val="23"/>
          <w:szCs w:val="23"/>
        </w:rPr>
        <w:t>Órganos Centrales del Instituto Electoral</w:t>
      </w:r>
    </w:p>
    <w:p w14:paraId="722EEAB4" w14:textId="77777777" w:rsidR="00851620" w:rsidRPr="00B84640" w:rsidRDefault="00851620" w:rsidP="00EC1CA4">
      <w:r w:rsidRPr="00B84640">
        <w:t>Que, el artículo 105 de la Ley Electoral, señala que el Consejo Estatal; la Presidencia del Consejo Estatal; la Junta Estatal Ejecutiva, la Secretaría Ejecutiva y el Órgano Técnico de Fiscalización, constituyen los órganos centrales del Instituto Electoral.</w:t>
      </w:r>
    </w:p>
    <w:p w14:paraId="0CEEE352" w14:textId="77777777" w:rsidR="00851620" w:rsidRPr="00B84640" w:rsidRDefault="00851620" w:rsidP="00EC1CA4">
      <w:pPr>
        <w:pStyle w:val="Ttulo2"/>
        <w:rPr>
          <w:sz w:val="23"/>
          <w:szCs w:val="23"/>
        </w:rPr>
      </w:pPr>
      <w:r w:rsidRPr="00B84640">
        <w:rPr>
          <w:sz w:val="23"/>
          <w:szCs w:val="23"/>
        </w:rPr>
        <w:t>Órgano Superior de Dirección del Instituto Electoral</w:t>
      </w:r>
    </w:p>
    <w:p w14:paraId="439371DE" w14:textId="77777777" w:rsidR="00851620" w:rsidRPr="00B84640" w:rsidRDefault="00851620" w:rsidP="00EC1CA4">
      <w:r w:rsidRPr="00B84640">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0A842A84" w14:textId="77777777" w:rsidR="00851620" w:rsidRPr="00B84640" w:rsidRDefault="00851620" w:rsidP="00EC1CA4">
      <w:pPr>
        <w:pStyle w:val="Ttulo2"/>
        <w:rPr>
          <w:sz w:val="23"/>
          <w:szCs w:val="23"/>
        </w:rPr>
      </w:pPr>
      <w:r w:rsidRPr="00B84640">
        <w:rPr>
          <w:sz w:val="23"/>
          <w:szCs w:val="23"/>
        </w:rPr>
        <w:t>Integración del Órgano de Dirección Superior</w:t>
      </w:r>
    </w:p>
    <w:p w14:paraId="0B5FCDC4" w14:textId="77777777" w:rsidR="00851620" w:rsidRPr="00B84640" w:rsidRDefault="00851620" w:rsidP="00EC1CA4">
      <w:r w:rsidRPr="00B84640">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5659A70" w14:textId="77777777" w:rsidR="00851620" w:rsidRPr="00B84640" w:rsidRDefault="00851620" w:rsidP="00EC1CA4">
      <w:pPr>
        <w:pStyle w:val="Ttulo2"/>
        <w:rPr>
          <w:sz w:val="23"/>
          <w:szCs w:val="23"/>
        </w:rPr>
      </w:pPr>
      <w:r w:rsidRPr="00B84640">
        <w:rPr>
          <w:sz w:val="23"/>
          <w:szCs w:val="23"/>
        </w:rPr>
        <w:lastRenderedPageBreak/>
        <w:t xml:space="preserve">Competencia del Consejo Estatal </w:t>
      </w:r>
    </w:p>
    <w:p w14:paraId="0C627046" w14:textId="38F0071A" w:rsidR="000A0195" w:rsidRPr="00B84640" w:rsidRDefault="00851620" w:rsidP="00EC1CA4">
      <w:r w:rsidRPr="00B84640">
        <w:t xml:space="preserve">Que, de conformidad con el artículo 115, numeral 1, fracciones XV </w:t>
      </w:r>
      <w:r w:rsidR="000A0195" w:rsidRPr="00B84640">
        <w:t xml:space="preserve">y XXVII </w:t>
      </w:r>
      <w:r w:rsidRPr="00B84640">
        <w:t xml:space="preserve">de la Ley Electoral, el Consejo Estatal </w:t>
      </w:r>
      <w:r w:rsidR="00BA1092" w:rsidRPr="00B84640">
        <w:t xml:space="preserve">es competente </w:t>
      </w:r>
      <w:r w:rsidRPr="00B84640">
        <w:t>para llevar a cabo las actividades necesarias para la preparación de la jornada electoral</w:t>
      </w:r>
      <w:r w:rsidR="000A0195" w:rsidRPr="00B84640">
        <w:t xml:space="preserve"> e implementar y operar el Programa de Resultados Electorales Preliminares de las elecciones que se lleven a cabo en la entidad, de conformidad con las reglas, lineamientos, criterios y formatos que para el efecto emita el INE.</w:t>
      </w:r>
    </w:p>
    <w:p w14:paraId="73B02B06" w14:textId="77777777" w:rsidR="00851620" w:rsidRPr="00B84640" w:rsidRDefault="00851620" w:rsidP="00EC1CA4">
      <w:r w:rsidRPr="00B84640">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06EAC7DB" w14:textId="14B19BB7" w:rsidR="00BD3AC8" w:rsidRPr="00B84640" w:rsidRDefault="00947ADE" w:rsidP="00EC1CA4">
      <w:pPr>
        <w:pStyle w:val="Ttulo2"/>
        <w:rPr>
          <w:sz w:val="23"/>
          <w:szCs w:val="23"/>
        </w:rPr>
      </w:pPr>
      <w:r w:rsidRPr="00B84640">
        <w:rPr>
          <w:sz w:val="23"/>
          <w:szCs w:val="23"/>
        </w:rPr>
        <w:t>Programa de Resultados Electorales Preliminares</w:t>
      </w:r>
    </w:p>
    <w:p w14:paraId="446D69B1" w14:textId="380A841A" w:rsidR="00947ADE" w:rsidRPr="00B84640" w:rsidRDefault="00947ADE" w:rsidP="00EC1CA4">
      <w:r w:rsidRPr="00B84640">
        <w:t>Que, el artículo 174, numeral 1 de la Ley Electoral señala que el Programa de Resultados Electorales Preliminares es el 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Centros de Acopio y Transmisión de Datos autorizados por el Instituto Estatal.</w:t>
      </w:r>
    </w:p>
    <w:p w14:paraId="47FEB15F" w14:textId="6A393A22" w:rsidR="00846B43" w:rsidRPr="00B84640" w:rsidRDefault="00846B43" w:rsidP="00EC1CA4">
      <w:pPr>
        <w:pStyle w:val="Ttulo2"/>
        <w:rPr>
          <w:sz w:val="23"/>
          <w:szCs w:val="23"/>
        </w:rPr>
      </w:pPr>
      <w:r w:rsidRPr="00B84640">
        <w:rPr>
          <w:sz w:val="23"/>
          <w:szCs w:val="23"/>
        </w:rPr>
        <w:t>Regulación del Programa de Resultados Electorales Preliminares</w:t>
      </w:r>
    </w:p>
    <w:p w14:paraId="53516562" w14:textId="3A30C29F" w:rsidR="00846B43" w:rsidRPr="00B84640" w:rsidRDefault="00846B43" w:rsidP="00EC1CA4">
      <w:r w:rsidRPr="00B84640">
        <w:t xml:space="preserve">Que, en términos de los artículos 41, base V, apartado B, incisos a), numeral 5 de la Constitución Federal, 336 del Reglamento de Elecciones, el INE estableció las bases y los procedimientos generales para el diseño, la implementación y operación del Programa de Resultados Electorales Preliminares, las cuales son aplicables para los </w:t>
      </w:r>
      <w:r w:rsidRPr="00B84640">
        <w:lastRenderedPageBreak/>
        <w:t>organismos electorales en sus, así como para todas las personas que participen en las etapas de diseño, implementación, operación y evaluación de dicho programa.</w:t>
      </w:r>
    </w:p>
    <w:p w14:paraId="3FC05B35" w14:textId="77777777" w:rsidR="00201D66" w:rsidRPr="00B84640" w:rsidRDefault="00201D66" w:rsidP="00EC1CA4">
      <w:pPr>
        <w:pStyle w:val="Ttulo2"/>
        <w:rPr>
          <w:sz w:val="23"/>
          <w:szCs w:val="23"/>
        </w:rPr>
      </w:pPr>
      <w:r w:rsidRPr="00B84640">
        <w:rPr>
          <w:sz w:val="23"/>
          <w:szCs w:val="23"/>
        </w:rPr>
        <w:t>Responsabilidad del Programa de Resultados Electorales Preliminares</w:t>
      </w:r>
    </w:p>
    <w:p w14:paraId="30B241A0" w14:textId="42E7E77B" w:rsidR="00201D66" w:rsidRPr="00B84640" w:rsidRDefault="00201D66" w:rsidP="00EC1CA4">
      <w:r w:rsidRPr="00B84640">
        <w:t xml:space="preserve">Que, el artículo 338, numeral 2, inciso b) del Reglamento de Elecciones dispone que, con base en sus atribuciones legales, y en función al tipo de elección o mecanismo de participación ciudadana de que se trate, el diseño, la implementación y operación del Programa de Resultados Electorales Preliminares será responsabilidad de los organismos electorales </w:t>
      </w:r>
      <w:r w:rsidR="00720C73" w:rsidRPr="00B84640">
        <w:t xml:space="preserve">cuando se trate de las elecciones para la Gubernatura, diputaciones y regidurías. </w:t>
      </w:r>
    </w:p>
    <w:p w14:paraId="7BA91442" w14:textId="77777777" w:rsidR="004F6A69" w:rsidRPr="00B84640" w:rsidRDefault="004F6A69" w:rsidP="00EC1CA4">
      <w:pPr>
        <w:pStyle w:val="Ttulo2"/>
        <w:rPr>
          <w:sz w:val="23"/>
          <w:szCs w:val="23"/>
        </w:rPr>
      </w:pPr>
      <w:r w:rsidRPr="00B84640">
        <w:rPr>
          <w:sz w:val="23"/>
          <w:szCs w:val="23"/>
        </w:rPr>
        <w:t>Coordinación y desarrollo del Programa de Resultados Electorales Preliminares</w:t>
      </w:r>
    </w:p>
    <w:p w14:paraId="2247EF88" w14:textId="72FED630" w:rsidR="00EE79DB" w:rsidRPr="00B84640" w:rsidRDefault="00EE79DB" w:rsidP="00EC1CA4">
      <w:r w:rsidRPr="00B84640">
        <w:t>Que, de acuerdo con los numerales 3 y 4 del artículo 338 del Reglamento de Elecciones, los organismos electorales, en el ámbito de sus competencias, deberán acordar la designación o ratificación de la instancia interna responsable de coordinar el desarrollo de las actividades del Programa de Resultados Electorales Preliminares, por lo menos nueve meses antes del día de la Jornada Electoral.</w:t>
      </w:r>
    </w:p>
    <w:p w14:paraId="161038D0" w14:textId="0FCC0429" w:rsidR="00EE79DB" w:rsidRPr="00B84640" w:rsidRDefault="00EE79DB" w:rsidP="00EC1CA4">
      <w:r w:rsidRPr="00B84640">
        <w:t>Asimismo, la instancia interna deberá elaborar un plan de trabajo para la implementación del Programa de Resultados Electorales Preliminares, que contemple los requisitos mínimos establecidos por el INE, el cual deberá, ser revisado previamente en las reuniones formales de trabajo del Comité Técnico Asesor con las representaciones de los partidos políticos y, en su caso, de las candidaturas independientes, en las cuales podrán participar las y los Consejeros Electorales, o quien los represente.</w:t>
      </w:r>
    </w:p>
    <w:p w14:paraId="25775984" w14:textId="0C9FB1DC" w:rsidR="00052D09" w:rsidRPr="00B84640" w:rsidRDefault="006D1A91" w:rsidP="00EC1CA4">
      <w:pPr>
        <w:pStyle w:val="Ttulo2"/>
        <w:rPr>
          <w:sz w:val="23"/>
          <w:szCs w:val="23"/>
        </w:rPr>
      </w:pPr>
      <w:r w:rsidRPr="00B84640">
        <w:rPr>
          <w:sz w:val="23"/>
          <w:szCs w:val="23"/>
        </w:rPr>
        <w:t>Determinación de la instancia interna</w:t>
      </w:r>
    </w:p>
    <w:p w14:paraId="173D262F" w14:textId="27592857" w:rsidR="00FB6761" w:rsidRPr="00B84640" w:rsidRDefault="001C4EE6" w:rsidP="00DF51A7">
      <w:r w:rsidRPr="00B84640">
        <w:t xml:space="preserve">Que, </w:t>
      </w:r>
      <w:r w:rsidR="00FB6761" w:rsidRPr="00B84640">
        <w:t xml:space="preserve">en procesos electorales anteriores, </w:t>
      </w:r>
      <w:r w:rsidR="006F4635" w:rsidRPr="00B84640">
        <w:t xml:space="preserve">este Consejo Estatal determinó la responsabilidad de coordinar la implementación, </w:t>
      </w:r>
      <w:r w:rsidR="00FB6761" w:rsidRPr="00B84640">
        <w:t xml:space="preserve">desarrollo y operación del Programa </w:t>
      </w:r>
      <w:r w:rsidR="00FB6761" w:rsidRPr="00B84640">
        <w:lastRenderedPageBreak/>
        <w:t xml:space="preserve">de Resultados Electorales Preliminares a </w:t>
      </w:r>
      <w:r w:rsidR="006F4635" w:rsidRPr="00B84640">
        <w:t xml:space="preserve">cargo de la </w:t>
      </w:r>
      <w:r w:rsidR="00FB6761" w:rsidRPr="00B84640">
        <w:t>Unidad de Tecnologías de Información y Comunicación (UNITIC)</w:t>
      </w:r>
      <w:r w:rsidR="006F4635" w:rsidRPr="00B84640">
        <w:t xml:space="preserve">. </w:t>
      </w:r>
      <w:r w:rsidR="00DF51A7" w:rsidRPr="00B84640">
        <w:t>En todo caso, la operación del Programa obtuvo resultados acordes a sus fines, cumpliendo con el propósito de informar de manera oportuna a la ciudadanía.</w:t>
      </w:r>
    </w:p>
    <w:p w14:paraId="229DEC67" w14:textId="5767C26E" w:rsidR="00D16ACB" w:rsidRPr="00B84640" w:rsidRDefault="00D16ACB" w:rsidP="00B12BA7">
      <w:r w:rsidRPr="00B84640">
        <w:t>Esta experiencia en el desarrollo y ejecución de una herramienta informática confiable constituyen la base por la qu</w:t>
      </w:r>
      <w:r w:rsidR="00007E91" w:rsidRPr="00B84640">
        <w:t>e este Consejo Estatal considere</w:t>
      </w:r>
      <w:r w:rsidRPr="00B84640">
        <w:t xml:space="preserve"> </w:t>
      </w:r>
      <w:r w:rsidR="00007E91" w:rsidRPr="00B84640">
        <w:t xml:space="preserve">nuevamente </w:t>
      </w:r>
      <w:r w:rsidRPr="00B84640">
        <w:t xml:space="preserve">la idoneidad de la </w:t>
      </w:r>
      <w:r w:rsidR="00FB6761" w:rsidRPr="00B84640">
        <w:t xml:space="preserve">UNITIC </w:t>
      </w:r>
      <w:r w:rsidRPr="00B84640">
        <w:t>para que, durante este próximo proceso electoral</w:t>
      </w:r>
      <w:r w:rsidR="008943DA" w:rsidRPr="00B84640">
        <w:t xml:space="preserve">, implemente </w:t>
      </w:r>
      <w:r w:rsidR="00007E91" w:rsidRPr="00B84640">
        <w:t xml:space="preserve">y opere </w:t>
      </w:r>
      <w:r w:rsidRPr="00B84640">
        <w:t>el Programa de Resultados Electorales Preliminares</w:t>
      </w:r>
      <w:r w:rsidR="008943DA" w:rsidRPr="00B84640">
        <w:t>.</w:t>
      </w:r>
      <w:r w:rsidR="00007E91" w:rsidRPr="00B84640">
        <w:t xml:space="preserve"> Además, de que</w:t>
      </w:r>
      <w:r w:rsidR="00F80E41" w:rsidRPr="00B84640">
        <w:t>,</w:t>
      </w:r>
      <w:r w:rsidR="00007E91" w:rsidRPr="00B84640">
        <w:t xml:space="preserve"> conforme a las atribuciones que le confiere el Manual de Organización, es el área responsable de dirigir </w:t>
      </w:r>
      <w:r w:rsidR="00A67146" w:rsidRPr="00B84640">
        <w:t xml:space="preserve">y supervisar </w:t>
      </w:r>
      <w:r w:rsidR="00007E91" w:rsidRPr="00B84640">
        <w:t>los proyectos de análisis, diseño, implementación y supervisión de sistemas de información, de infraestructura y de comunicaciones de este Instituto.</w:t>
      </w:r>
    </w:p>
    <w:p w14:paraId="5F02F9D0" w14:textId="3FC0D064" w:rsidR="006D56D7" w:rsidRPr="00B84640" w:rsidRDefault="008943DA" w:rsidP="00EC1CA4">
      <w:r w:rsidRPr="00B84640">
        <w:t xml:space="preserve">Para ello, cuenta con </w:t>
      </w:r>
      <w:r w:rsidR="00B12BA7" w:rsidRPr="00B84640">
        <w:t xml:space="preserve">la capacidad </w:t>
      </w:r>
      <w:r w:rsidR="00FB6761" w:rsidRPr="00B84640">
        <w:t xml:space="preserve">técnica y profesional </w:t>
      </w:r>
      <w:r w:rsidRPr="00B84640">
        <w:t>que le permitirá</w:t>
      </w:r>
      <w:r w:rsidR="00FE72B4" w:rsidRPr="00B84640">
        <w:t>,</w:t>
      </w:r>
      <w:r w:rsidRPr="00B84640">
        <w:t xml:space="preserve"> de manera reiterada</w:t>
      </w:r>
      <w:r w:rsidR="00FE72B4" w:rsidRPr="00B84640">
        <w:t xml:space="preserve">, </w:t>
      </w:r>
      <w:r w:rsidRPr="00B84640">
        <w:t xml:space="preserve">desarrollar un mecanismo confiable cuyo propósito será el de informar </w:t>
      </w:r>
      <w:r w:rsidR="006D56D7" w:rsidRPr="00B84640">
        <w:t>oportunamente</w:t>
      </w:r>
      <w:r w:rsidRPr="00B84640">
        <w:t xml:space="preserve"> y de manera preliminar los resultados de la próxima contienda electoral, </w:t>
      </w:r>
      <w:r w:rsidR="00FE72B4" w:rsidRPr="00B84640">
        <w:t xml:space="preserve">siempre </w:t>
      </w:r>
      <w:r w:rsidRPr="00B84640">
        <w:t xml:space="preserve">con apego a </w:t>
      </w:r>
      <w:r w:rsidR="006D56D7" w:rsidRPr="00B84640">
        <w:t>los principios de seguridad, transparencia, confiabilidad, credibilidad e integridad de los resultados y la información electoral.</w:t>
      </w:r>
    </w:p>
    <w:p w14:paraId="5BC434BF" w14:textId="37E89144" w:rsidR="006D56D7" w:rsidRPr="00B84640" w:rsidRDefault="006D56D7" w:rsidP="00EC1CA4">
      <w:r w:rsidRPr="00B84640">
        <w:t>A partir de lo anterior, este Consejo Estatal de conformidad sus atribuciones y en cumplimiento al artículo 338, numeral 3 del Reglamento de Elecciones, determina que la Unidad de Tecnologías de la Información y Comunicación (UNITIC) de este Instituto, será la instancia interna responsable de coordinar el desarrollo de las actividades del Programa de Resultados Electorales Preliminares con motivo del Proceso Electoral Local Ordinario 2023 – 2024, conforme a las bases y los procedimientos determinados por el INE.</w:t>
      </w:r>
    </w:p>
    <w:p w14:paraId="486F7DD0" w14:textId="70D3D3F4" w:rsidR="00851620" w:rsidRDefault="00851620" w:rsidP="00EC1CA4">
      <w:r w:rsidRPr="00B84640">
        <w:t>Sobre la base de las consideraciones señaladas, este Consejo Estatal emite el siguiente:</w:t>
      </w:r>
    </w:p>
    <w:p w14:paraId="097721F8" w14:textId="5DB5BDB6" w:rsidR="001E4A0F" w:rsidRDefault="001E4A0F" w:rsidP="00EC1CA4"/>
    <w:p w14:paraId="203BE548" w14:textId="77777777" w:rsidR="001E4A0F" w:rsidRPr="00B84640" w:rsidRDefault="001E4A0F" w:rsidP="00EC1CA4"/>
    <w:p w14:paraId="783A7F7B" w14:textId="77777777" w:rsidR="00851620" w:rsidRPr="00B84640" w:rsidRDefault="00851620" w:rsidP="00EC1CA4">
      <w:pPr>
        <w:pStyle w:val="Ttulo1"/>
        <w:rPr>
          <w:sz w:val="24"/>
          <w:szCs w:val="24"/>
        </w:rPr>
      </w:pPr>
      <w:r w:rsidRPr="00B84640">
        <w:rPr>
          <w:sz w:val="24"/>
          <w:szCs w:val="24"/>
        </w:rPr>
        <w:lastRenderedPageBreak/>
        <w:t>Acuerdo</w:t>
      </w:r>
    </w:p>
    <w:p w14:paraId="42439201" w14:textId="745DE01D" w:rsidR="00266FC6" w:rsidRPr="00B84640" w:rsidRDefault="00851620" w:rsidP="00EC1CA4">
      <w:pPr>
        <w:pStyle w:val="Puntos"/>
        <w:spacing w:before="240" w:line="300" w:lineRule="auto"/>
        <w:ind w:left="0"/>
        <w:rPr>
          <w:bCs/>
          <w:sz w:val="23"/>
          <w:szCs w:val="23"/>
        </w:rPr>
      </w:pPr>
      <w:r w:rsidRPr="00714B8B">
        <w:rPr>
          <w:b/>
        </w:rPr>
        <w:t xml:space="preserve">Primero. </w:t>
      </w:r>
      <w:r w:rsidRPr="00B84640">
        <w:rPr>
          <w:bCs/>
          <w:sz w:val="23"/>
          <w:szCs w:val="23"/>
        </w:rPr>
        <w:t xml:space="preserve">Se </w:t>
      </w:r>
      <w:r w:rsidR="00453E8D" w:rsidRPr="00B84640">
        <w:rPr>
          <w:bCs/>
          <w:sz w:val="23"/>
          <w:szCs w:val="23"/>
        </w:rPr>
        <w:t xml:space="preserve">aprueba a </w:t>
      </w:r>
      <w:r w:rsidR="00266FC6" w:rsidRPr="00B84640">
        <w:rPr>
          <w:sz w:val="23"/>
          <w:szCs w:val="23"/>
        </w:rPr>
        <w:t xml:space="preserve">la Unidad de Tecnologías de la Información y Comunicación (UNITIC) del Instituto Electoral y de Participación Ciudadana de Tabasco, </w:t>
      </w:r>
      <w:r w:rsidR="00453E8D" w:rsidRPr="00B84640">
        <w:rPr>
          <w:sz w:val="23"/>
          <w:szCs w:val="23"/>
        </w:rPr>
        <w:t xml:space="preserve">como </w:t>
      </w:r>
      <w:r w:rsidR="00266FC6" w:rsidRPr="00B84640">
        <w:rPr>
          <w:bCs/>
          <w:sz w:val="23"/>
          <w:szCs w:val="23"/>
        </w:rPr>
        <w:t xml:space="preserve">la instancia </w:t>
      </w:r>
      <w:r w:rsidR="00D73F2A" w:rsidRPr="00B84640">
        <w:rPr>
          <w:bCs/>
          <w:sz w:val="23"/>
          <w:szCs w:val="23"/>
        </w:rPr>
        <w:t>responsable de la implementación y operación d</w:t>
      </w:r>
      <w:r w:rsidR="00266FC6" w:rsidRPr="00B84640">
        <w:rPr>
          <w:bCs/>
          <w:sz w:val="23"/>
          <w:szCs w:val="23"/>
        </w:rPr>
        <w:t>el Programa de Resultados Electorales Preliminares del Estado de Tabasco (PREPET) en el Proceso Electoral Local Ordinario 2023 – 2024.</w:t>
      </w:r>
    </w:p>
    <w:p w14:paraId="77C695F7" w14:textId="77777777" w:rsidR="00851620" w:rsidRPr="00B84640" w:rsidRDefault="00851620" w:rsidP="00EC1CA4">
      <w:pPr>
        <w:pStyle w:val="Puntos"/>
        <w:spacing w:before="240" w:line="300" w:lineRule="auto"/>
        <w:ind w:left="0"/>
        <w:rPr>
          <w:sz w:val="23"/>
          <w:szCs w:val="23"/>
        </w:rPr>
      </w:pPr>
      <w:r w:rsidRPr="00B84640">
        <w:rPr>
          <w:b/>
          <w:sz w:val="23"/>
          <w:szCs w:val="23"/>
        </w:rPr>
        <w:t xml:space="preserve">Segundo. </w:t>
      </w:r>
      <w:r w:rsidRPr="00B84640">
        <w:rPr>
          <w:sz w:val="23"/>
          <w:szCs w:val="23"/>
        </w:rPr>
        <w:t>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187409A9" w14:textId="77777777" w:rsidR="00851620" w:rsidRPr="00B84640" w:rsidRDefault="00851620" w:rsidP="00EC1CA4">
      <w:pPr>
        <w:pStyle w:val="Puntos"/>
        <w:spacing w:before="240" w:line="300" w:lineRule="auto"/>
        <w:ind w:left="0"/>
        <w:rPr>
          <w:sz w:val="23"/>
          <w:szCs w:val="23"/>
        </w:rPr>
      </w:pPr>
      <w:r w:rsidRPr="00B84640">
        <w:rPr>
          <w:b/>
          <w:bCs/>
          <w:sz w:val="23"/>
          <w:szCs w:val="23"/>
        </w:rPr>
        <w:t>Tercero.</w:t>
      </w:r>
      <w:r w:rsidRPr="00B84640">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36A365A6" w14:textId="129A1684" w:rsidR="00851620" w:rsidRPr="00B84640" w:rsidRDefault="00851620" w:rsidP="00EC1CA4">
      <w:pPr>
        <w:pStyle w:val="Puntos"/>
        <w:spacing w:before="240" w:line="300" w:lineRule="auto"/>
        <w:ind w:left="0"/>
        <w:rPr>
          <w:sz w:val="23"/>
          <w:szCs w:val="23"/>
        </w:rPr>
      </w:pPr>
      <w:r w:rsidRPr="00B84640">
        <w:rPr>
          <w:sz w:val="23"/>
          <w:szCs w:val="23"/>
        </w:rPr>
        <w:t>El presente acuerdo fue</w:t>
      </w:r>
      <w:r w:rsidR="00B84640">
        <w:rPr>
          <w:sz w:val="23"/>
          <w:szCs w:val="23"/>
        </w:rPr>
        <w:t xml:space="preserve"> aprobado</w:t>
      </w:r>
      <w:r w:rsidRPr="00B84640">
        <w:rPr>
          <w:sz w:val="23"/>
          <w:szCs w:val="23"/>
        </w:rPr>
        <w:t xml:space="preserve"> en sesión </w:t>
      </w:r>
      <w:bookmarkStart w:id="0" w:name="_GoBack"/>
      <w:bookmarkEnd w:id="0"/>
      <w:r w:rsidR="00B84640">
        <w:rPr>
          <w:sz w:val="23"/>
          <w:szCs w:val="23"/>
        </w:rPr>
        <w:t>ordinaria</w:t>
      </w:r>
      <w:r w:rsidRPr="00B84640">
        <w:rPr>
          <w:sz w:val="23"/>
          <w:szCs w:val="23"/>
        </w:rPr>
        <w:t xml:space="preserve"> efectuada el</w:t>
      </w:r>
      <w:r w:rsidR="00B84640">
        <w:rPr>
          <w:sz w:val="23"/>
          <w:szCs w:val="23"/>
        </w:rPr>
        <w:t xml:space="preserve"> treinta y uno </w:t>
      </w:r>
      <w:r w:rsidRPr="00B84640">
        <w:rPr>
          <w:sz w:val="23"/>
          <w:szCs w:val="23"/>
        </w:rPr>
        <w:t xml:space="preserve">de </w:t>
      </w:r>
      <w:r w:rsidR="00B84640">
        <w:rPr>
          <w:sz w:val="23"/>
          <w:szCs w:val="23"/>
        </w:rPr>
        <w:t>agosto</w:t>
      </w:r>
      <w:r w:rsidRPr="00B84640">
        <w:rPr>
          <w:sz w:val="23"/>
          <w:szCs w:val="23"/>
        </w:rPr>
        <w:t xml:space="preserve"> del año dos mil veintitrés, por votación </w:t>
      </w:r>
      <w:r w:rsidR="00D8085D">
        <w:rPr>
          <w:sz w:val="23"/>
          <w:szCs w:val="23"/>
        </w:rPr>
        <w:t>unánime</w:t>
      </w:r>
      <w:r w:rsidRPr="00B84640">
        <w:rPr>
          <w:sz w:val="23"/>
          <w:szCs w:val="23"/>
        </w:rPr>
        <w:t xml:space="preserve"> 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Mtra. Elizabeth Nava Gutiérrez.</w:t>
      </w:r>
    </w:p>
    <w:p w14:paraId="357F4F32" w14:textId="77777777" w:rsidR="00851620" w:rsidRPr="00B84640" w:rsidRDefault="00851620" w:rsidP="00851620">
      <w:pPr>
        <w:pStyle w:val="Puntos"/>
        <w:spacing w:line="288" w:lineRule="auto"/>
        <w:ind w:left="0"/>
        <w:rPr>
          <w:sz w:val="23"/>
          <w:szCs w:val="23"/>
        </w:rPr>
      </w:pPr>
    </w:p>
    <w:p w14:paraId="65FCB4B5" w14:textId="77777777" w:rsidR="00851620" w:rsidRPr="00B84640" w:rsidRDefault="00851620" w:rsidP="00851620">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14B8B" w:rsidRPr="00B84640" w14:paraId="51168C1A" w14:textId="77777777" w:rsidTr="009A251F">
        <w:tc>
          <w:tcPr>
            <w:tcW w:w="4395" w:type="dxa"/>
          </w:tcPr>
          <w:p w14:paraId="2AAD5FB1" w14:textId="77777777" w:rsidR="00851620" w:rsidRPr="00B84640" w:rsidRDefault="00851620" w:rsidP="009A251F">
            <w:pPr>
              <w:widowControl w:val="0"/>
              <w:spacing w:before="0" w:after="0" w:line="288" w:lineRule="auto"/>
              <w:jc w:val="center"/>
              <w:rPr>
                <w:b/>
                <w:spacing w:val="-10"/>
              </w:rPr>
            </w:pPr>
            <w:r w:rsidRPr="00B84640">
              <w:rPr>
                <w:b/>
                <w:spacing w:val="-10"/>
              </w:rPr>
              <w:t>MTRA. ELIZABETH NAVA GUTIÉRREZ</w:t>
            </w:r>
          </w:p>
          <w:p w14:paraId="583CDE45" w14:textId="77777777" w:rsidR="00851620" w:rsidRPr="00B84640" w:rsidRDefault="00851620" w:rsidP="009A251F">
            <w:pPr>
              <w:widowControl w:val="0"/>
              <w:spacing w:before="0" w:after="0" w:line="288" w:lineRule="auto"/>
              <w:jc w:val="center"/>
              <w:rPr>
                <w:b/>
              </w:rPr>
            </w:pPr>
            <w:r w:rsidRPr="00B84640">
              <w:rPr>
                <w:b/>
                <w:spacing w:val="-10"/>
              </w:rPr>
              <w:t>CONSEJERA PRESIDENTA</w:t>
            </w:r>
          </w:p>
        </w:tc>
        <w:tc>
          <w:tcPr>
            <w:tcW w:w="278" w:type="dxa"/>
          </w:tcPr>
          <w:p w14:paraId="3227D628" w14:textId="77777777" w:rsidR="00851620" w:rsidRPr="00B84640" w:rsidRDefault="00851620" w:rsidP="009A251F">
            <w:pPr>
              <w:widowControl w:val="0"/>
              <w:spacing w:before="0" w:after="0" w:line="288" w:lineRule="auto"/>
              <w:rPr>
                <w:b/>
              </w:rPr>
            </w:pPr>
          </w:p>
        </w:tc>
        <w:tc>
          <w:tcPr>
            <w:tcW w:w="4400" w:type="dxa"/>
          </w:tcPr>
          <w:p w14:paraId="3D4F953F" w14:textId="77777777" w:rsidR="00851620" w:rsidRPr="00B84640" w:rsidRDefault="00851620" w:rsidP="009A251F">
            <w:pPr>
              <w:widowControl w:val="0"/>
              <w:spacing w:before="0" w:after="0" w:line="288" w:lineRule="auto"/>
              <w:jc w:val="center"/>
              <w:rPr>
                <w:b/>
                <w:spacing w:val="-10"/>
              </w:rPr>
            </w:pPr>
            <w:r w:rsidRPr="00B84640">
              <w:rPr>
                <w:b/>
                <w:spacing w:val="-10"/>
              </w:rPr>
              <w:t>LIC. JORGE ALBERTO ZAVALA FRÍAS</w:t>
            </w:r>
          </w:p>
          <w:p w14:paraId="311D6E20" w14:textId="77777777" w:rsidR="00851620" w:rsidRPr="00B84640" w:rsidRDefault="00851620" w:rsidP="009A251F">
            <w:pPr>
              <w:widowControl w:val="0"/>
              <w:spacing w:before="0" w:after="0" w:line="288" w:lineRule="auto"/>
              <w:jc w:val="center"/>
              <w:rPr>
                <w:b/>
              </w:rPr>
            </w:pPr>
            <w:r w:rsidRPr="00B84640">
              <w:rPr>
                <w:b/>
                <w:spacing w:val="-10"/>
              </w:rPr>
              <w:t>SECRETARIO DEL CONSEJO</w:t>
            </w:r>
          </w:p>
        </w:tc>
      </w:tr>
    </w:tbl>
    <w:p w14:paraId="33C1ACB9" w14:textId="77777777" w:rsidR="00851620" w:rsidRPr="00B84640" w:rsidRDefault="00851620" w:rsidP="00851620"/>
    <w:sectPr w:rsidR="00851620" w:rsidRPr="00B84640" w:rsidSect="00851620">
      <w:headerReference w:type="default" r:id="rId7"/>
      <w:footerReference w:type="default" r:id="rId8"/>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58176" w14:textId="77777777" w:rsidR="00DA0E8B" w:rsidRDefault="00DA0E8B" w:rsidP="00851620">
      <w:r>
        <w:separator/>
      </w:r>
    </w:p>
  </w:endnote>
  <w:endnote w:type="continuationSeparator" w:id="0">
    <w:p w14:paraId="3702A250" w14:textId="77777777" w:rsidR="00DA0E8B" w:rsidRDefault="00DA0E8B" w:rsidP="0085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769409"/>
      <w:docPartObj>
        <w:docPartGallery w:val="Page Numbers (Bottom of Page)"/>
        <w:docPartUnique/>
      </w:docPartObj>
    </w:sdtPr>
    <w:sdtEndPr>
      <w:rPr>
        <w:b/>
        <w:bCs/>
        <w:color w:val="993366"/>
        <w:sz w:val="18"/>
        <w:szCs w:val="18"/>
      </w:rPr>
    </w:sdtEndPr>
    <w:sdtContent>
      <w:sdt>
        <w:sdtPr>
          <w:rPr>
            <w:sz w:val="20"/>
            <w:szCs w:val="20"/>
          </w:rPr>
          <w:id w:val="-1769616900"/>
          <w:docPartObj>
            <w:docPartGallery w:val="Page Numbers (Top of Page)"/>
            <w:docPartUnique/>
          </w:docPartObj>
        </w:sdtPr>
        <w:sdtEndPr>
          <w:rPr>
            <w:b/>
            <w:bCs/>
            <w:color w:val="993366"/>
            <w:sz w:val="18"/>
            <w:szCs w:val="18"/>
          </w:rPr>
        </w:sdtEndPr>
        <w:sdtContent>
          <w:p w14:paraId="3573C282" w14:textId="200F76F0" w:rsidR="00851620" w:rsidRPr="00851620" w:rsidRDefault="00851620" w:rsidP="00851620">
            <w:pPr>
              <w:pStyle w:val="Piedepgina"/>
              <w:jc w:val="right"/>
              <w:rPr>
                <w:b/>
                <w:bCs/>
                <w:color w:val="993366"/>
                <w:sz w:val="18"/>
                <w:szCs w:val="18"/>
              </w:rPr>
            </w:pPr>
            <w:r w:rsidRPr="00851620">
              <w:rPr>
                <w:b/>
                <w:bCs/>
                <w:color w:val="993366"/>
                <w:sz w:val="22"/>
                <w:szCs w:val="22"/>
                <w:lang w:val="es-ES"/>
              </w:rPr>
              <w:t xml:space="preserve">Página </w:t>
            </w:r>
            <w:r w:rsidRPr="00851620">
              <w:rPr>
                <w:b/>
                <w:bCs/>
                <w:color w:val="993366"/>
                <w:sz w:val="22"/>
                <w:szCs w:val="22"/>
              </w:rPr>
              <w:fldChar w:fldCharType="begin"/>
            </w:r>
            <w:r w:rsidRPr="00851620">
              <w:rPr>
                <w:b/>
                <w:bCs/>
                <w:color w:val="993366"/>
                <w:sz w:val="22"/>
                <w:szCs w:val="22"/>
              </w:rPr>
              <w:instrText>PAGE</w:instrText>
            </w:r>
            <w:r w:rsidRPr="00851620">
              <w:rPr>
                <w:b/>
                <w:bCs/>
                <w:color w:val="993366"/>
                <w:sz w:val="22"/>
                <w:szCs w:val="22"/>
              </w:rPr>
              <w:fldChar w:fldCharType="separate"/>
            </w:r>
            <w:r w:rsidR="009123B9">
              <w:rPr>
                <w:b/>
                <w:bCs/>
                <w:noProof/>
                <w:color w:val="993366"/>
                <w:sz w:val="22"/>
                <w:szCs w:val="22"/>
              </w:rPr>
              <w:t>8</w:t>
            </w:r>
            <w:r w:rsidRPr="00851620">
              <w:rPr>
                <w:b/>
                <w:bCs/>
                <w:color w:val="993366"/>
                <w:sz w:val="22"/>
                <w:szCs w:val="22"/>
              </w:rPr>
              <w:fldChar w:fldCharType="end"/>
            </w:r>
            <w:r w:rsidRPr="00851620">
              <w:rPr>
                <w:b/>
                <w:bCs/>
                <w:color w:val="993366"/>
                <w:sz w:val="22"/>
                <w:szCs w:val="22"/>
                <w:lang w:val="es-ES"/>
              </w:rPr>
              <w:t xml:space="preserve"> | </w:t>
            </w:r>
            <w:r w:rsidRPr="00851620">
              <w:rPr>
                <w:b/>
                <w:bCs/>
                <w:color w:val="993366"/>
                <w:sz w:val="22"/>
                <w:szCs w:val="22"/>
              </w:rPr>
              <w:fldChar w:fldCharType="begin"/>
            </w:r>
            <w:r w:rsidRPr="00851620">
              <w:rPr>
                <w:b/>
                <w:bCs/>
                <w:color w:val="993366"/>
                <w:sz w:val="22"/>
                <w:szCs w:val="22"/>
              </w:rPr>
              <w:instrText>NUMPAGES</w:instrText>
            </w:r>
            <w:r w:rsidRPr="00851620">
              <w:rPr>
                <w:b/>
                <w:bCs/>
                <w:color w:val="993366"/>
                <w:sz w:val="22"/>
                <w:szCs w:val="22"/>
              </w:rPr>
              <w:fldChar w:fldCharType="separate"/>
            </w:r>
            <w:r w:rsidR="009123B9">
              <w:rPr>
                <w:b/>
                <w:bCs/>
                <w:noProof/>
                <w:color w:val="993366"/>
                <w:sz w:val="22"/>
                <w:szCs w:val="22"/>
              </w:rPr>
              <w:t>8</w:t>
            </w:r>
            <w:r w:rsidRPr="00851620">
              <w:rPr>
                <w:b/>
                <w:bCs/>
                <w:color w:val="993366"/>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35C5D" w14:textId="77777777" w:rsidR="00DA0E8B" w:rsidRDefault="00DA0E8B" w:rsidP="00851620">
      <w:r>
        <w:separator/>
      </w:r>
    </w:p>
  </w:footnote>
  <w:footnote w:type="continuationSeparator" w:id="0">
    <w:p w14:paraId="5E958F53" w14:textId="77777777" w:rsidR="00DA0E8B" w:rsidRDefault="00DA0E8B" w:rsidP="008516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851620" w:rsidRPr="00063338" w14:paraId="6425E5C2" w14:textId="77777777" w:rsidTr="009A251F">
      <w:tc>
        <w:tcPr>
          <w:tcW w:w="1418" w:type="dxa"/>
        </w:tcPr>
        <w:p w14:paraId="6A3E4DDB" w14:textId="77777777" w:rsidR="00851620" w:rsidRPr="00063338" w:rsidRDefault="00851620" w:rsidP="00851620">
          <w:pPr>
            <w:pStyle w:val="Encabezado"/>
            <w:spacing w:before="0"/>
            <w:ind w:left="-170"/>
            <w:jc w:val="left"/>
          </w:pPr>
          <w:r>
            <w:rPr>
              <w:b/>
              <w:noProof/>
              <w:sz w:val="32"/>
              <w:lang w:eastAsia="es-MX"/>
            </w:rPr>
            <w:drawing>
              <wp:inline distT="0" distB="0" distL="0" distR="0" wp14:anchorId="51DABD55" wp14:editId="4F9E4BB5">
                <wp:extent cx="1014331" cy="1199403"/>
                <wp:effectExtent l="0" t="0" r="0" b="1270"/>
                <wp:docPr id="4" name="Imagen 4"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33DC969" w14:textId="77777777" w:rsidR="00851620" w:rsidRPr="00063338" w:rsidRDefault="00851620" w:rsidP="00851620">
          <w:pPr>
            <w:pStyle w:val="Encabezado"/>
            <w:spacing w:before="720"/>
            <w:jc w:val="center"/>
            <w:rPr>
              <w:b/>
              <w:bCs/>
              <w:sz w:val="25"/>
              <w:szCs w:val="25"/>
            </w:rPr>
          </w:pPr>
          <w:r w:rsidRPr="00063338">
            <w:rPr>
              <w:b/>
              <w:bCs/>
              <w:sz w:val="25"/>
              <w:szCs w:val="25"/>
            </w:rPr>
            <w:t>INSTITUTO ELECTORAL Y DE PARTICIPACIÓN CIUDADANA DE TABASCO</w:t>
          </w:r>
        </w:p>
        <w:p w14:paraId="2464AED7" w14:textId="77777777" w:rsidR="00851620" w:rsidRPr="00063338" w:rsidRDefault="00851620" w:rsidP="00851620">
          <w:pPr>
            <w:pStyle w:val="Encabezado"/>
            <w:spacing w:before="0"/>
            <w:jc w:val="center"/>
          </w:pPr>
          <w:r w:rsidRPr="00063338">
            <w:rPr>
              <w:sz w:val="26"/>
              <w:szCs w:val="26"/>
            </w:rPr>
            <w:t>CONSEJO ESTATAL</w:t>
          </w:r>
        </w:p>
      </w:tc>
      <w:tc>
        <w:tcPr>
          <w:tcW w:w="1701" w:type="dxa"/>
        </w:tcPr>
        <w:p w14:paraId="459444F3" w14:textId="77777777" w:rsidR="00851620" w:rsidRPr="00063338" w:rsidRDefault="00851620" w:rsidP="00851620">
          <w:pPr>
            <w:pStyle w:val="Encabezado"/>
            <w:spacing w:before="480"/>
          </w:pPr>
          <w:r w:rsidRPr="00063338">
            <w:rPr>
              <w:noProof/>
              <w:lang w:eastAsia="es-MX"/>
            </w:rPr>
            <w:drawing>
              <wp:inline distT="0" distB="0" distL="0" distR="0" wp14:anchorId="06CB32D4" wp14:editId="3C699AD9">
                <wp:extent cx="921600" cy="756000"/>
                <wp:effectExtent l="0" t="0" r="0" b="6350"/>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CEC2842" w14:textId="4216384B" w:rsidR="00851620" w:rsidRDefault="008A7CC7" w:rsidP="00B84640">
    <w:pPr>
      <w:pStyle w:val="Ttulo"/>
      <w:spacing w:line="276" w:lineRule="auto"/>
      <w:jc w:val="right"/>
    </w:pPr>
    <w:r w:rsidRPr="00D8085D">
      <w:t>CE/2023/</w:t>
    </w:r>
    <w:r w:rsidR="00B84640" w:rsidRPr="00D8085D">
      <w:t>016</w:t>
    </w:r>
  </w:p>
  <w:p w14:paraId="697A705B" w14:textId="77777777" w:rsidR="001E4A0F" w:rsidRPr="001E4A0F" w:rsidRDefault="001E4A0F" w:rsidP="001E4A0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4E2426A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78"/>
    <w:rsid w:val="00007E91"/>
    <w:rsid w:val="00052D09"/>
    <w:rsid w:val="000A0195"/>
    <w:rsid w:val="000D1F53"/>
    <w:rsid w:val="000F4CDE"/>
    <w:rsid w:val="001C4EE6"/>
    <w:rsid w:val="001E4A0F"/>
    <w:rsid w:val="00201D66"/>
    <w:rsid w:val="00266FC6"/>
    <w:rsid w:val="00453E8D"/>
    <w:rsid w:val="004A512E"/>
    <w:rsid w:val="004E7FD3"/>
    <w:rsid w:val="004F6A69"/>
    <w:rsid w:val="005811E9"/>
    <w:rsid w:val="00585E6D"/>
    <w:rsid w:val="00612E59"/>
    <w:rsid w:val="006A6051"/>
    <w:rsid w:val="006D1A91"/>
    <w:rsid w:val="006D56D7"/>
    <w:rsid w:val="006F4635"/>
    <w:rsid w:val="00714B8B"/>
    <w:rsid w:val="00720C73"/>
    <w:rsid w:val="00760230"/>
    <w:rsid w:val="00770397"/>
    <w:rsid w:val="00794E99"/>
    <w:rsid w:val="007D20A4"/>
    <w:rsid w:val="00812ED7"/>
    <w:rsid w:val="00814589"/>
    <w:rsid w:val="00846B43"/>
    <w:rsid w:val="00851620"/>
    <w:rsid w:val="008708D6"/>
    <w:rsid w:val="008943DA"/>
    <w:rsid w:val="008A7CC7"/>
    <w:rsid w:val="008E0978"/>
    <w:rsid w:val="008F6C38"/>
    <w:rsid w:val="0090312B"/>
    <w:rsid w:val="009123B9"/>
    <w:rsid w:val="00947ADE"/>
    <w:rsid w:val="00A060D6"/>
    <w:rsid w:val="00A3504E"/>
    <w:rsid w:val="00A67146"/>
    <w:rsid w:val="00AA0702"/>
    <w:rsid w:val="00B0013A"/>
    <w:rsid w:val="00B12BA7"/>
    <w:rsid w:val="00B84640"/>
    <w:rsid w:val="00BA1092"/>
    <w:rsid w:val="00BD3AC8"/>
    <w:rsid w:val="00BF4D85"/>
    <w:rsid w:val="00C05307"/>
    <w:rsid w:val="00CC5D6B"/>
    <w:rsid w:val="00CF730F"/>
    <w:rsid w:val="00D16ACB"/>
    <w:rsid w:val="00D42DE5"/>
    <w:rsid w:val="00D73F2A"/>
    <w:rsid w:val="00D803B6"/>
    <w:rsid w:val="00D8085D"/>
    <w:rsid w:val="00DA0E8B"/>
    <w:rsid w:val="00DB423C"/>
    <w:rsid w:val="00DD18EB"/>
    <w:rsid w:val="00DF51A7"/>
    <w:rsid w:val="00E0395A"/>
    <w:rsid w:val="00EC1CA4"/>
    <w:rsid w:val="00EE79DB"/>
    <w:rsid w:val="00F80E41"/>
    <w:rsid w:val="00FB6761"/>
    <w:rsid w:val="00FE72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AFF6F6"/>
  <w15:chartTrackingRefBased/>
  <w15:docId w15:val="{B19E794F-96E7-4932-833F-60C6A7A0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20"/>
    <w:pPr>
      <w:spacing w:before="240" w:after="240" w:line="300" w:lineRule="auto"/>
      <w:jc w:val="both"/>
    </w:pPr>
    <w:rPr>
      <w:rFonts w:ascii="Arial" w:hAnsi="Arial" w:cs="Arial"/>
      <w:sz w:val="23"/>
      <w:szCs w:val="23"/>
    </w:rPr>
  </w:style>
  <w:style w:type="paragraph" w:styleId="Ttulo1">
    <w:name w:val="heading 1"/>
    <w:basedOn w:val="Normal"/>
    <w:next w:val="Normal"/>
    <w:link w:val="Ttulo1Car"/>
    <w:uiPriority w:val="9"/>
    <w:qFormat/>
    <w:rsid w:val="00EC1CA4"/>
    <w:pPr>
      <w:numPr>
        <w:numId w:val="1"/>
      </w:numPr>
      <w:spacing w:before="480" w:after="360"/>
      <w:jc w:val="center"/>
      <w:outlineLvl w:val="0"/>
    </w:pPr>
    <w:rPr>
      <w:b/>
      <w:bCs/>
      <w:kern w:val="0"/>
      <w:sz w:val="28"/>
      <w14:ligatures w14:val="none"/>
    </w:rPr>
  </w:style>
  <w:style w:type="paragraph" w:styleId="Ttulo2">
    <w:name w:val="heading 2"/>
    <w:basedOn w:val="Normal"/>
    <w:next w:val="Normal"/>
    <w:link w:val="Ttulo2Car"/>
    <w:uiPriority w:val="9"/>
    <w:unhideWhenUsed/>
    <w:qFormat/>
    <w:rsid w:val="00EC1CA4"/>
    <w:pPr>
      <w:keepNext/>
      <w:keepLines/>
      <w:numPr>
        <w:ilvl w:val="1"/>
        <w:numId w:val="1"/>
      </w:numPr>
      <w:spacing w:before="480"/>
      <w:ind w:left="624" w:hanging="624"/>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851620"/>
    <w:pPr>
      <w:keepNext/>
      <w:keepLines/>
      <w:numPr>
        <w:ilvl w:val="2"/>
        <w:numId w:val="1"/>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85162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85162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85162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85162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85162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85162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16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1620"/>
  </w:style>
  <w:style w:type="paragraph" w:styleId="Piedepgina">
    <w:name w:val="footer"/>
    <w:basedOn w:val="Normal"/>
    <w:link w:val="PiedepginaCar"/>
    <w:uiPriority w:val="99"/>
    <w:unhideWhenUsed/>
    <w:rsid w:val="008516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1620"/>
  </w:style>
  <w:style w:type="table" w:styleId="Tablaconcuadrcula">
    <w:name w:val="Table Grid"/>
    <w:basedOn w:val="Tablanormal"/>
    <w:uiPriority w:val="39"/>
    <w:rsid w:val="008516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851620"/>
    <w:pPr>
      <w:spacing w:before="0"/>
    </w:pPr>
    <w:rPr>
      <w:b/>
      <w:bCs/>
      <w:sz w:val="24"/>
      <w:szCs w:val="24"/>
    </w:rPr>
  </w:style>
  <w:style w:type="character" w:customStyle="1" w:styleId="TtuloCar">
    <w:name w:val="Título Car"/>
    <w:basedOn w:val="Fuentedeprrafopredeter"/>
    <w:link w:val="Ttulo"/>
    <w:uiPriority w:val="10"/>
    <w:rsid w:val="00851620"/>
    <w:rPr>
      <w:rFonts w:ascii="Arial" w:hAnsi="Arial" w:cs="Arial"/>
      <w:b/>
      <w:bCs/>
      <w:sz w:val="24"/>
      <w:szCs w:val="24"/>
    </w:rPr>
  </w:style>
  <w:style w:type="character" w:customStyle="1" w:styleId="Ttulo1Car">
    <w:name w:val="Título 1 Car"/>
    <w:basedOn w:val="Fuentedeprrafopredeter"/>
    <w:link w:val="Ttulo1"/>
    <w:uiPriority w:val="9"/>
    <w:rsid w:val="00EC1CA4"/>
    <w:rPr>
      <w:rFonts w:ascii="Arial" w:hAnsi="Arial" w:cs="Arial"/>
      <w:b/>
      <w:bCs/>
      <w:kern w:val="0"/>
      <w:sz w:val="28"/>
      <w:szCs w:val="23"/>
      <w14:ligatures w14:val="none"/>
    </w:rPr>
  </w:style>
  <w:style w:type="character" w:customStyle="1" w:styleId="Ttulo2Car">
    <w:name w:val="Título 2 Car"/>
    <w:basedOn w:val="Fuentedeprrafopredeter"/>
    <w:link w:val="Ttulo2"/>
    <w:uiPriority w:val="9"/>
    <w:rsid w:val="00EC1CA4"/>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851620"/>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85162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85162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85162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85162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85162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851620"/>
    <w:rPr>
      <w:rFonts w:asciiTheme="majorHAnsi" w:eastAsiaTheme="majorEastAsia" w:hAnsiTheme="majorHAnsi" w:cstheme="majorBidi"/>
      <w:i/>
      <w:iCs/>
      <w:color w:val="272727" w:themeColor="text1" w:themeTint="D8"/>
      <w:kern w:val="0"/>
      <w:sz w:val="21"/>
      <w:szCs w:val="21"/>
      <w14:ligatures w14:val="none"/>
    </w:rPr>
  </w:style>
  <w:style w:type="character" w:styleId="Refdecomentario">
    <w:name w:val="annotation reference"/>
    <w:basedOn w:val="Fuentedeprrafopredeter"/>
    <w:uiPriority w:val="99"/>
    <w:semiHidden/>
    <w:unhideWhenUsed/>
    <w:rsid w:val="00851620"/>
    <w:rPr>
      <w:sz w:val="16"/>
      <w:szCs w:val="16"/>
    </w:rPr>
  </w:style>
  <w:style w:type="paragraph" w:styleId="Textocomentario">
    <w:name w:val="annotation text"/>
    <w:basedOn w:val="Normal"/>
    <w:link w:val="TextocomentarioCar"/>
    <w:uiPriority w:val="99"/>
    <w:semiHidden/>
    <w:unhideWhenUsed/>
    <w:rsid w:val="008516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1620"/>
    <w:rPr>
      <w:rFonts w:ascii="Arial" w:hAnsi="Arial" w:cs="Arial"/>
      <w:sz w:val="20"/>
      <w:szCs w:val="20"/>
    </w:rPr>
  </w:style>
  <w:style w:type="paragraph" w:customStyle="1" w:styleId="Puntos">
    <w:name w:val="Puntos"/>
    <w:basedOn w:val="Normal"/>
    <w:link w:val="PuntosCar"/>
    <w:qFormat/>
    <w:rsid w:val="0085162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851620"/>
    <w:rPr>
      <w:rFonts w:ascii="Arial" w:hAnsi="Arial" w:cs="Arial"/>
      <w:kern w:val="0"/>
      <w:sz w:val="24"/>
      <w:szCs w:val="24"/>
      <w14:ligatures w14:val="none"/>
    </w:rPr>
  </w:style>
  <w:style w:type="paragraph" w:styleId="Textodeglobo">
    <w:name w:val="Balloon Text"/>
    <w:basedOn w:val="Normal"/>
    <w:link w:val="TextodegloboCar"/>
    <w:uiPriority w:val="99"/>
    <w:semiHidden/>
    <w:unhideWhenUsed/>
    <w:rsid w:val="001E4A0F"/>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4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20E.%20Le&#243;n\Documents\Plantillas%20personalizadas%20de%20Office\Acuerdo_Bas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Acuerdo_Base</Template>
  <TotalTime>13</TotalTime>
  <Pages>8</Pages>
  <Words>2094</Words>
  <Characters>11519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6</cp:revision>
  <cp:lastPrinted>2023-09-01T19:07:00Z</cp:lastPrinted>
  <dcterms:created xsi:type="dcterms:W3CDTF">2023-09-01T18:21:00Z</dcterms:created>
  <dcterms:modified xsi:type="dcterms:W3CDTF">2023-09-01T20:16:00Z</dcterms:modified>
</cp:coreProperties>
</file>